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A5" w:rsidRPr="00CE70A5" w:rsidRDefault="00CE70A5" w:rsidP="00CE70A5">
      <w:pPr>
        <w:shd w:val="clear" w:color="auto" w:fill="660033"/>
        <w:rPr>
          <w:rFonts w:ascii="Arial" w:hAnsi="Arial" w:cs="Arial"/>
          <w:b/>
          <w:color w:val="FFFFFF"/>
          <w:spacing w:val="20"/>
          <w:sz w:val="26"/>
          <w:szCs w:val="26"/>
        </w:rPr>
      </w:pPr>
      <w:r w:rsidRPr="00CE70A5">
        <w:rPr>
          <w:rFonts w:ascii="Arial" w:hAnsi="Arial" w:cs="Arial"/>
          <w:b/>
          <w:color w:val="FFFFFF"/>
          <w:spacing w:val="20"/>
          <w:sz w:val="26"/>
          <w:szCs w:val="26"/>
        </w:rPr>
        <w:t xml:space="preserve"> «Кадры решают всё»</w:t>
      </w:r>
    </w:p>
    <w:p w:rsidR="00261C96" w:rsidRDefault="002463F2" w:rsidP="00825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3125037</wp:posOffset>
            </wp:positionH>
            <wp:positionV relativeFrom="paragraph">
              <wp:posOffset>716936</wp:posOffset>
            </wp:positionV>
            <wp:extent cx="2786380" cy="22275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5" t="20551" r="12210"/>
                    <a:stretch/>
                  </pic:blipFill>
                  <pic:spPr bwMode="auto">
                    <a:xfrm>
                      <a:off x="0" y="0"/>
                      <a:ext cx="2786380" cy="222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C96">
        <w:rPr>
          <w:rFonts w:ascii="Arial" w:hAnsi="Arial" w:cs="Arial"/>
          <w:sz w:val="24"/>
          <w:szCs w:val="24"/>
        </w:rPr>
        <w:t xml:space="preserve">Данный курс ставит своей </w:t>
      </w:r>
      <w:r w:rsidR="00261C96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целью</w:t>
      </w:r>
      <w:r w:rsidR="00261C96">
        <w:rPr>
          <w:rFonts w:ascii="Arial" w:hAnsi="Arial" w:cs="Arial"/>
          <w:sz w:val="24"/>
          <w:szCs w:val="24"/>
        </w:rPr>
        <w:t xml:space="preserve"> формирование </w:t>
      </w:r>
      <w:r w:rsidR="00261C96" w:rsidRPr="008868E3">
        <w:rPr>
          <w:rFonts w:ascii="Arial" w:hAnsi="Arial" w:cs="Arial"/>
          <w:sz w:val="24"/>
          <w:szCs w:val="24"/>
        </w:rPr>
        <w:t xml:space="preserve">системного подхода в оценке и развитии персонала для реализации задач </w:t>
      </w:r>
      <w:r w:rsidR="00F60B9E">
        <w:rPr>
          <w:rFonts w:ascii="Arial" w:hAnsi="Arial" w:cs="Arial"/>
          <w:sz w:val="24"/>
          <w:szCs w:val="24"/>
        </w:rPr>
        <w:t>организации</w:t>
      </w:r>
      <w:r w:rsidR="00261C96">
        <w:rPr>
          <w:rFonts w:ascii="Arial" w:hAnsi="Arial" w:cs="Arial"/>
          <w:sz w:val="24"/>
          <w:szCs w:val="24"/>
        </w:rPr>
        <w:t>/подразделений.</w:t>
      </w:r>
      <w:r w:rsidR="00F60B9E">
        <w:rPr>
          <w:rFonts w:ascii="Arial" w:hAnsi="Arial" w:cs="Arial"/>
          <w:sz w:val="24"/>
          <w:szCs w:val="24"/>
        </w:rPr>
        <w:t xml:space="preserve"> На тренинге рассматриваются вопросы требований ТК РФ к процедурам оценки.</w:t>
      </w:r>
      <w:r w:rsidR="00261C96" w:rsidRPr="0082505A">
        <w:rPr>
          <w:rFonts w:ascii="Arial" w:hAnsi="Arial" w:cs="Arial"/>
          <w:sz w:val="24"/>
          <w:szCs w:val="24"/>
        </w:rPr>
        <w:t xml:space="preserve"> </w:t>
      </w:r>
    </w:p>
    <w:p w:rsidR="00F60B9E" w:rsidRPr="00F60B9E" w:rsidRDefault="00F60B9E" w:rsidP="00825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Обучаемые получают знания, необходимые для формирования оптимальной процедуры оценки персонала. Создается модель оценки с учетом таких параметров, как достижение целей, выполнение </w:t>
      </w:r>
      <w:r>
        <w:rPr>
          <w:rFonts w:ascii="Arial" w:hAnsi="Arial" w:cs="Arial"/>
          <w:sz w:val="24"/>
          <w:szCs w:val="24"/>
          <w:lang w:val="en-US"/>
        </w:rPr>
        <w:t>KPI</w:t>
      </w:r>
      <w:r>
        <w:rPr>
          <w:rFonts w:ascii="Arial" w:hAnsi="Arial" w:cs="Arial"/>
          <w:sz w:val="24"/>
          <w:szCs w:val="24"/>
        </w:rPr>
        <w:t>, определения корпоративных, профессиональных и личных.</w:t>
      </w:r>
    </w:p>
    <w:p w:rsidR="00F60B9E" w:rsidRDefault="00261C96" w:rsidP="00825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 формирует навыки создания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банка компетенций, определения необходимых компетенций для каждой конкретной должности</w:t>
      </w:r>
      <w:r w:rsidR="008868E3">
        <w:rPr>
          <w:rFonts w:ascii="Arial" w:hAnsi="Arial" w:cs="Arial"/>
          <w:sz w:val="24"/>
          <w:szCs w:val="24"/>
        </w:rPr>
        <w:t xml:space="preserve">. Разбираются особенности формирования процедуры оценки кандидатов в </w:t>
      </w:r>
      <w:r w:rsidR="00F60B9E">
        <w:rPr>
          <w:rFonts w:ascii="Arial" w:hAnsi="Arial" w:cs="Arial"/>
          <w:sz w:val="24"/>
          <w:szCs w:val="24"/>
        </w:rPr>
        <w:t>состав</w:t>
      </w:r>
      <w:r w:rsidR="008868E3">
        <w:rPr>
          <w:rFonts w:ascii="Arial" w:hAnsi="Arial" w:cs="Arial"/>
          <w:sz w:val="24"/>
          <w:szCs w:val="24"/>
        </w:rPr>
        <w:t xml:space="preserve"> </w:t>
      </w:r>
      <w:r w:rsidR="00F60B9E">
        <w:rPr>
          <w:rFonts w:ascii="Arial" w:hAnsi="Arial" w:cs="Arial"/>
          <w:sz w:val="24"/>
          <w:szCs w:val="24"/>
        </w:rPr>
        <w:t>кадрового резерва организации</w:t>
      </w:r>
      <w:r w:rsidR="008868E3">
        <w:rPr>
          <w:rFonts w:ascii="Arial" w:hAnsi="Arial" w:cs="Arial"/>
          <w:sz w:val="24"/>
          <w:szCs w:val="24"/>
        </w:rPr>
        <w:t xml:space="preserve"> и результатов развития резервистов</w:t>
      </w:r>
      <w:r>
        <w:rPr>
          <w:rFonts w:ascii="Arial" w:hAnsi="Arial" w:cs="Arial"/>
          <w:sz w:val="24"/>
          <w:szCs w:val="24"/>
        </w:rPr>
        <w:t>.</w:t>
      </w:r>
      <w:r w:rsidR="00F60B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1C96" w:rsidRDefault="00261C96" w:rsidP="008250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изучении методов оценки компетенций, участники выполняют практические задания по формированию инструментария метода и тренировки </w:t>
      </w:r>
      <w:r w:rsidR="00F60B9E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применения. Метод </w:t>
      </w:r>
      <w:r w:rsidR="00F60B9E">
        <w:rPr>
          <w:rFonts w:ascii="Arial" w:hAnsi="Arial" w:cs="Arial"/>
          <w:sz w:val="24"/>
          <w:szCs w:val="24"/>
        </w:rPr>
        <w:t>«</w:t>
      </w:r>
      <w:r w:rsidR="00F60B9E" w:rsidRPr="00F60B9E">
        <w:rPr>
          <w:rFonts w:ascii="Arial" w:hAnsi="Arial" w:cs="Arial"/>
          <w:sz w:val="24"/>
          <w:szCs w:val="24"/>
          <w:lang w:val="en-US"/>
        </w:rPr>
        <w:t>Assessment Centre</w:t>
      </w:r>
      <w:r w:rsidR="00F60B9E">
        <w:rPr>
          <w:rFonts w:ascii="Arial" w:hAnsi="Arial" w:cs="Arial"/>
          <w:sz w:val="24"/>
          <w:szCs w:val="24"/>
        </w:rPr>
        <w:t>» рассмотрен с особой детальностью, так как его использование требует расширенной подготовки наблюдателей и ведущего.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2505A" w:rsidRPr="0082505A" w:rsidRDefault="0082505A" w:rsidP="0082505A">
      <w:pPr>
        <w:jc w:val="both"/>
        <w:rPr>
          <w:rFonts w:ascii="Arial" w:hAnsi="Arial" w:cs="Arial"/>
          <w:sz w:val="24"/>
          <w:szCs w:val="24"/>
        </w:rPr>
      </w:pPr>
      <w:r w:rsidRPr="0082505A">
        <w:rPr>
          <w:rFonts w:ascii="Arial" w:hAnsi="Arial" w:cs="Arial"/>
          <w:sz w:val="24"/>
          <w:szCs w:val="24"/>
        </w:rPr>
        <w:t xml:space="preserve">Данный курс </w:t>
      </w: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будет полезен</w:t>
      </w:r>
      <w:r w:rsidRPr="0082505A">
        <w:rPr>
          <w:rFonts w:ascii="Arial" w:hAnsi="Arial" w:cs="Arial"/>
          <w:sz w:val="24"/>
          <w:szCs w:val="24"/>
        </w:rPr>
        <w:t xml:space="preserve"> руководителям </w:t>
      </w:r>
      <w:r>
        <w:rPr>
          <w:rFonts w:ascii="Arial" w:hAnsi="Arial" w:cs="Arial"/>
          <w:sz w:val="24"/>
          <w:szCs w:val="24"/>
        </w:rPr>
        <w:t xml:space="preserve">и сотрудникам </w:t>
      </w:r>
      <w:r>
        <w:rPr>
          <w:rFonts w:ascii="Arial" w:hAnsi="Arial" w:cs="Arial"/>
          <w:sz w:val="24"/>
          <w:szCs w:val="24"/>
          <w:lang w:val="en-US"/>
        </w:rPr>
        <w:t>HR</w:t>
      </w:r>
      <w:r>
        <w:rPr>
          <w:rFonts w:ascii="Arial" w:hAnsi="Arial" w:cs="Arial"/>
          <w:sz w:val="24"/>
          <w:szCs w:val="24"/>
        </w:rPr>
        <w:t xml:space="preserve"> подразделений, занимающихся оценкой персонала. </w:t>
      </w:r>
    </w:p>
    <w:p w:rsidR="0082505A" w:rsidRPr="0082505A" w:rsidRDefault="0082505A" w:rsidP="0082505A">
      <w:pPr>
        <w:jc w:val="both"/>
        <w:rPr>
          <w:rFonts w:ascii="Arial" w:hAnsi="Arial" w:cs="Arial"/>
          <w:sz w:val="24"/>
          <w:szCs w:val="24"/>
        </w:rPr>
      </w:pPr>
      <w:r w:rsidRPr="0082505A">
        <w:rPr>
          <w:rFonts w:ascii="Arial" w:hAnsi="Arial" w:cs="Arial"/>
          <w:sz w:val="24"/>
          <w:szCs w:val="24"/>
        </w:rPr>
        <w:t xml:space="preserve">На семинаре используются такие </w:t>
      </w: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методы</w:t>
      </w:r>
      <w:r w:rsidRPr="0082505A">
        <w:rPr>
          <w:rFonts w:ascii="Arial" w:hAnsi="Arial" w:cs="Arial"/>
          <w:sz w:val="24"/>
          <w:szCs w:val="24"/>
        </w:rPr>
        <w:t xml:space="preserve"> работы, как просмотр видеозаписей, ролевые игры, работа с учебными ситуациями, тестирование, дискуссии, лекционные вставки.</w:t>
      </w:r>
    </w:p>
    <w:p w:rsidR="0082505A" w:rsidRPr="0082505A" w:rsidRDefault="0082505A" w:rsidP="0082505A">
      <w:pPr>
        <w:jc w:val="both"/>
        <w:rPr>
          <w:rFonts w:ascii="Arial" w:hAnsi="Arial" w:cs="Arial"/>
          <w:sz w:val="24"/>
          <w:szCs w:val="24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Продолжительность</w:t>
      </w:r>
      <w:r w:rsidRPr="0082505A">
        <w:rPr>
          <w:rFonts w:ascii="Arial" w:hAnsi="Arial" w:cs="Arial"/>
          <w:sz w:val="24"/>
          <w:szCs w:val="24"/>
        </w:rPr>
        <w:t xml:space="preserve"> курса – два дня.</w:t>
      </w:r>
    </w:p>
    <w:p w:rsidR="0082505A" w:rsidRDefault="0082505A" w:rsidP="0082505A">
      <w:pPr>
        <w:jc w:val="both"/>
        <w:rPr>
          <w:rFonts w:ascii="Arial" w:hAnsi="Arial" w:cs="Arial"/>
          <w:sz w:val="24"/>
          <w:szCs w:val="24"/>
        </w:rPr>
      </w:pPr>
      <w:r w:rsidRPr="0082505A">
        <w:rPr>
          <w:rFonts w:ascii="Arial" w:hAnsi="Arial" w:cs="Arial"/>
          <w:sz w:val="24"/>
          <w:szCs w:val="24"/>
        </w:rPr>
        <w:t>Занятия проходят с 10.00 до 18.00 часов.</w:t>
      </w:r>
    </w:p>
    <w:p w:rsidR="00CE70A5" w:rsidRDefault="00CE70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70A5" w:rsidRPr="00CE70A5" w:rsidRDefault="00CE70A5" w:rsidP="00CE70A5">
      <w:pPr>
        <w:keepNext/>
        <w:shd w:val="clear" w:color="auto" w:fill="660033"/>
        <w:spacing w:before="300"/>
        <w:rPr>
          <w:rFonts w:ascii="Arial" w:hAnsi="Arial" w:cs="Arial"/>
          <w:b/>
          <w:color w:val="FFFFFF"/>
          <w:spacing w:val="20"/>
          <w:sz w:val="26"/>
          <w:szCs w:val="26"/>
        </w:rPr>
      </w:pPr>
      <w:r w:rsidRPr="00CE70A5">
        <w:rPr>
          <w:rFonts w:ascii="Arial" w:hAnsi="Arial" w:cs="Arial"/>
          <w:b/>
          <w:color w:val="FFFFFF"/>
          <w:spacing w:val="20"/>
          <w:sz w:val="26"/>
          <w:szCs w:val="26"/>
        </w:rPr>
        <w:lastRenderedPageBreak/>
        <w:t>Программа</w:t>
      </w:r>
    </w:p>
    <w:p w:rsidR="000A024E" w:rsidRPr="00CE70A5" w:rsidRDefault="009D4CD6" w:rsidP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1. </w:t>
      </w:r>
      <w:r w:rsidR="00F11E3C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Оценочные мероприятия – роль, задачи, особенности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Задачи организации, решаемые оценкой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Аттестация и оценка, общ</w:t>
      </w:r>
      <w:r w:rsidR="0082505A" w:rsidRPr="0082505A">
        <w:rPr>
          <w:rFonts w:ascii="Arial" w:hAnsi="Arial" w:cs="Arial"/>
          <w:sz w:val="24"/>
        </w:rPr>
        <w:t>ее и различие. Требования ТК РФ</w:t>
      </w:r>
    </w:p>
    <w:p w:rsidR="00F11E3C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2. </w:t>
      </w:r>
      <w:r w:rsidR="00F11E3C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Что именно подлежит оценке</w:t>
      </w:r>
      <w:r w:rsidR="00810575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. Способности или результат.</w:t>
      </w:r>
      <w:r w:rsidR="0082505A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 Преимущества и недостатки</w:t>
      </w:r>
    </w:p>
    <w:p w:rsidR="00F11E3C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Оценка к</w:t>
      </w:r>
      <w:r w:rsidR="00F11E3C" w:rsidRPr="0082505A">
        <w:rPr>
          <w:rFonts w:ascii="Arial" w:hAnsi="Arial" w:cs="Arial"/>
          <w:sz w:val="24"/>
        </w:rPr>
        <w:t>омпетенции</w:t>
      </w:r>
      <w:r w:rsidR="0082505A">
        <w:rPr>
          <w:rFonts w:ascii="Arial" w:hAnsi="Arial" w:cs="Arial"/>
          <w:sz w:val="24"/>
        </w:rPr>
        <w:t>.</w:t>
      </w:r>
    </w:p>
    <w:p w:rsidR="00F11E3C" w:rsidRPr="0082505A" w:rsidRDefault="0082505A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Оценка по целям</w:t>
      </w:r>
    </w:p>
    <w:p w:rsidR="00F11E3C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 xml:space="preserve">Оценка по </w:t>
      </w:r>
      <w:r w:rsidR="00F11E3C" w:rsidRPr="0082505A">
        <w:rPr>
          <w:rFonts w:ascii="Arial" w:hAnsi="Arial" w:cs="Arial"/>
          <w:sz w:val="24"/>
        </w:rPr>
        <w:t>KPI</w:t>
      </w:r>
    </w:p>
    <w:p w:rsidR="00F11E3C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3. </w:t>
      </w:r>
      <w:r w:rsidR="00F11E3C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Оценка персонала по компетенциям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 xml:space="preserve">Понятие «компетенция» 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Название и описание компетенции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Технология определения и выделения ключевых профессиональный компетенций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Технология определения и выделения ключевых корпоративных компетенций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Технолог</w:t>
      </w:r>
      <w:r w:rsidR="0082505A">
        <w:rPr>
          <w:rFonts w:ascii="Arial" w:hAnsi="Arial" w:cs="Arial"/>
          <w:sz w:val="24"/>
        </w:rPr>
        <w:t>ия построения профиля должности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Уровни развития компетенции. Технология выде</w:t>
      </w:r>
      <w:r w:rsidR="0082505A">
        <w:rPr>
          <w:rFonts w:ascii="Arial" w:hAnsi="Arial" w:cs="Arial"/>
          <w:sz w:val="24"/>
        </w:rPr>
        <w:t>ления поведенческих индикаторов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Инструменты для построения модели компетенций: должностная инструкция, опросники, интервью, фокус-группы</w:t>
      </w:r>
    </w:p>
    <w:p w:rsidR="00F11E3C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4. </w:t>
      </w:r>
      <w:r w:rsidR="00F11E3C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Виды (группы) компетенций 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Банк компетенций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Корпоративные</w:t>
      </w:r>
      <w:r w:rsidR="0082505A">
        <w:rPr>
          <w:rFonts w:ascii="Arial" w:hAnsi="Arial" w:cs="Arial"/>
          <w:sz w:val="24"/>
        </w:rPr>
        <w:t xml:space="preserve"> компетенции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Профессиональные</w:t>
      </w:r>
      <w:r w:rsidR="0082505A">
        <w:rPr>
          <w:rFonts w:ascii="Arial" w:hAnsi="Arial" w:cs="Arial"/>
          <w:sz w:val="24"/>
        </w:rPr>
        <w:t xml:space="preserve"> компетенции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Личные</w:t>
      </w:r>
      <w:r w:rsidR="0082505A">
        <w:rPr>
          <w:rFonts w:ascii="Arial" w:hAnsi="Arial" w:cs="Arial"/>
          <w:sz w:val="24"/>
        </w:rPr>
        <w:t xml:space="preserve"> компетенции</w:t>
      </w:r>
    </w:p>
    <w:p w:rsidR="00F11E3C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5. </w:t>
      </w:r>
      <w:r w:rsidR="00F11E3C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Формирование процедуры оценки персонала</w:t>
      </w:r>
    </w:p>
    <w:p w:rsidR="00F11E3C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Формирование перечня оцениваемых параметров и расстановка весовых коэффициентов</w:t>
      </w:r>
    </w:p>
    <w:p w:rsidR="008868E3" w:rsidRPr="0082505A" w:rsidRDefault="008868E3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Формирование процедуры оценки кандидатов в кадровый резерв</w:t>
      </w:r>
    </w:p>
    <w:p w:rsidR="00F11E3C" w:rsidRPr="0082505A" w:rsidRDefault="0082505A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Требования к перечню</w:t>
      </w:r>
      <w:r w:rsidR="00F11E3C" w:rsidRPr="0082505A">
        <w:rPr>
          <w:rFonts w:ascii="Arial" w:hAnsi="Arial" w:cs="Arial"/>
          <w:sz w:val="24"/>
        </w:rPr>
        <w:t xml:space="preserve"> 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Требования к персональным листам оценки</w:t>
      </w:r>
    </w:p>
    <w:p w:rsidR="00F11E3C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6. </w:t>
      </w:r>
      <w:r w:rsidR="00F11E3C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Методы оценки компетенций</w:t>
      </w:r>
      <w:r w:rsidR="00810575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, суть метод</w:t>
      </w:r>
      <w:r w:rsidR="0082505A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ов</w:t>
      </w:r>
      <w:r w:rsidR="00810575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, преимущества и ограничения</w:t>
      </w:r>
    </w:p>
    <w:p w:rsidR="00F11E3C" w:rsidRPr="0082505A" w:rsidRDefault="00F11E3C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Экспертная оценка и оценка методом 180 гр</w:t>
      </w:r>
      <w:r w:rsidR="0082505A">
        <w:rPr>
          <w:rFonts w:ascii="Arial" w:hAnsi="Arial" w:cs="Arial"/>
          <w:sz w:val="24"/>
        </w:rPr>
        <w:t>адусов</w:t>
      </w:r>
    </w:p>
    <w:p w:rsidR="00F11E3C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Оценка методом 360 гр</w:t>
      </w:r>
      <w:r w:rsidR="0082505A">
        <w:rPr>
          <w:rFonts w:ascii="Arial" w:hAnsi="Arial" w:cs="Arial"/>
          <w:sz w:val="24"/>
        </w:rPr>
        <w:t>адусов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Тес</w:t>
      </w:r>
      <w:r w:rsidR="0082505A">
        <w:rPr>
          <w:rFonts w:ascii="Arial" w:hAnsi="Arial" w:cs="Arial"/>
          <w:sz w:val="24"/>
        </w:rPr>
        <w:t>тирование и проективные вопросы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 xml:space="preserve">Оценка методом решения </w:t>
      </w:r>
      <w:proofErr w:type="spellStart"/>
      <w:r w:rsidRPr="0082505A">
        <w:rPr>
          <w:rFonts w:ascii="Arial" w:hAnsi="Arial" w:cs="Arial"/>
          <w:sz w:val="24"/>
        </w:rPr>
        <w:t>кейсовых</w:t>
      </w:r>
      <w:proofErr w:type="spellEnd"/>
      <w:r w:rsidRPr="0082505A">
        <w:rPr>
          <w:rFonts w:ascii="Arial" w:hAnsi="Arial" w:cs="Arial"/>
          <w:sz w:val="24"/>
        </w:rPr>
        <w:t xml:space="preserve"> заданий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Assessment Center</w:t>
      </w:r>
    </w:p>
    <w:p w:rsidR="00810575" w:rsidRPr="0082505A" w:rsidRDefault="00810575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Интервью с оцениваемым</w:t>
      </w:r>
      <w:r w:rsidR="009D4CD6" w:rsidRPr="0082505A">
        <w:rPr>
          <w:rFonts w:ascii="Arial" w:hAnsi="Arial" w:cs="Arial"/>
          <w:sz w:val="24"/>
        </w:rPr>
        <w:t xml:space="preserve"> сотрудником</w:t>
      </w:r>
    </w:p>
    <w:p w:rsidR="00810575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 xml:space="preserve">7. </w:t>
      </w:r>
      <w:r w:rsidR="00810575"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Выбор метода оценки в соответствии с установленной процедурой оценки</w:t>
      </w:r>
    </w:p>
    <w:p w:rsidR="009D4CD6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Критерии выбора метода оценки</w:t>
      </w:r>
    </w:p>
    <w:p w:rsidR="009D4CD6" w:rsidRPr="00CE70A5" w:rsidRDefault="009D4CD6">
      <w:pPr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</w:pPr>
      <w:r w:rsidRPr="00CE70A5">
        <w:rPr>
          <w:rFonts w:ascii="Arial" w:eastAsia="ヒラギノ角ゴ Pro W3" w:hAnsi="Arial" w:cs="Arial"/>
          <w:b/>
          <w:color w:val="660033"/>
          <w:sz w:val="24"/>
          <w:szCs w:val="20"/>
          <w:lang w:eastAsia="ru-RU"/>
        </w:rPr>
        <w:t>8. Практикум проведения Assessment Centre</w:t>
      </w:r>
    </w:p>
    <w:p w:rsidR="009D4CD6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Оцениваемая компетенция и выбор соответствующего зада</w:t>
      </w:r>
      <w:r w:rsidR="0082505A">
        <w:rPr>
          <w:rFonts w:ascii="Arial" w:hAnsi="Arial" w:cs="Arial"/>
          <w:sz w:val="24"/>
        </w:rPr>
        <w:t>ния для оцениваемых сотрудников</w:t>
      </w:r>
    </w:p>
    <w:p w:rsidR="009D4CD6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 xml:space="preserve">Формирование листа индикаторов </w:t>
      </w:r>
      <w:r w:rsidR="0082505A" w:rsidRPr="0082505A">
        <w:rPr>
          <w:rFonts w:ascii="Arial" w:hAnsi="Arial" w:cs="Arial"/>
          <w:sz w:val="24"/>
        </w:rPr>
        <w:t xml:space="preserve">(оценочного бланка) </w:t>
      </w:r>
      <w:r w:rsidRPr="0082505A">
        <w:rPr>
          <w:rFonts w:ascii="Arial" w:hAnsi="Arial" w:cs="Arial"/>
          <w:sz w:val="24"/>
        </w:rPr>
        <w:t>и шкала оценки уровня компетенции</w:t>
      </w:r>
    </w:p>
    <w:p w:rsidR="009D4CD6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 xml:space="preserve">Проведение задания. Роль и задачи ведущего и </w:t>
      </w:r>
      <w:r w:rsidR="0082505A">
        <w:rPr>
          <w:rFonts w:ascii="Arial" w:hAnsi="Arial" w:cs="Arial"/>
          <w:sz w:val="24"/>
        </w:rPr>
        <w:t>наблюдателей</w:t>
      </w:r>
    </w:p>
    <w:p w:rsidR="009D4CD6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Обработка полученных результатов</w:t>
      </w:r>
    </w:p>
    <w:p w:rsidR="009D4CD6" w:rsidRPr="0082505A" w:rsidRDefault="009D4CD6" w:rsidP="0082505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82505A">
        <w:rPr>
          <w:rFonts w:ascii="Arial" w:hAnsi="Arial" w:cs="Arial"/>
          <w:sz w:val="24"/>
        </w:rPr>
        <w:t>Предоставление обратной связи оцениваемым</w:t>
      </w:r>
      <w:r w:rsidR="0082505A" w:rsidRPr="0082505A">
        <w:rPr>
          <w:rFonts w:ascii="Arial" w:hAnsi="Arial" w:cs="Arial"/>
          <w:sz w:val="24"/>
        </w:rPr>
        <w:t xml:space="preserve"> по результатам выполнения задания</w:t>
      </w:r>
    </w:p>
    <w:sectPr w:rsidR="009D4CD6" w:rsidRPr="0082505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C5F" w:rsidRDefault="00360C5F" w:rsidP="00CE70A5">
      <w:pPr>
        <w:spacing w:after="0" w:line="240" w:lineRule="auto"/>
      </w:pPr>
      <w:r>
        <w:separator/>
      </w:r>
    </w:p>
  </w:endnote>
  <w:endnote w:type="continuationSeparator" w:id="0">
    <w:p w:rsidR="00360C5F" w:rsidRDefault="00360C5F" w:rsidP="00CE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A5" w:rsidRPr="00114B30" w:rsidRDefault="00CE70A5" w:rsidP="00CE70A5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4AC42" wp14:editId="4D811D5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8E0150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>
      <w:rPr>
        <w:rFonts w:ascii="Century Gothic" w:hAnsi="Century Gothic"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C5F" w:rsidRDefault="00360C5F" w:rsidP="00CE70A5">
      <w:pPr>
        <w:spacing w:after="0" w:line="240" w:lineRule="auto"/>
      </w:pPr>
      <w:r>
        <w:separator/>
      </w:r>
    </w:p>
  </w:footnote>
  <w:footnote w:type="continuationSeparator" w:id="0">
    <w:p w:rsidR="00360C5F" w:rsidRDefault="00360C5F" w:rsidP="00CE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0A5" w:rsidRPr="00CE70A5" w:rsidRDefault="00CE70A5" w:rsidP="00CE70A5">
    <w:pPr>
      <w:ind w:left="2325"/>
      <w:jc w:val="right"/>
      <w:rPr>
        <w:rFonts w:ascii="Arial" w:hAnsi="Arial" w:cs="Arial"/>
        <w:color w:val="660033"/>
        <w:spacing w:val="20"/>
        <w:sz w:val="28"/>
        <w:szCs w:val="28"/>
      </w:rPr>
    </w:pPr>
    <w:r w:rsidRPr="00CE70A5">
      <w:rPr>
        <w:rFonts w:ascii="Arial" w:hAnsi="Arial" w:cs="Arial"/>
        <w:b/>
        <w:color w:val="660033"/>
        <w:spacing w:val="20"/>
        <w:sz w:val="28"/>
        <w:szCs w:val="28"/>
      </w:rPr>
      <w:t>ОЦЕНКА ПЕРСОНАЛА</w:t>
    </w:r>
  </w:p>
  <w:p w:rsidR="00CE70A5" w:rsidRPr="00145358" w:rsidRDefault="00CE70A5" w:rsidP="00CE70A5">
    <w:pPr>
      <w:rPr>
        <w:b/>
        <w:color w:val="660033"/>
        <w:spacing w:val="20"/>
        <w:sz w:val="28"/>
        <w:szCs w:val="28"/>
      </w:rPr>
    </w:pPr>
    <w:r>
      <w:rPr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2A6E" wp14:editId="0A39987A">
              <wp:simplePos x="0" y="0"/>
              <wp:positionH relativeFrom="column">
                <wp:posOffset>17145</wp:posOffset>
              </wp:positionH>
              <wp:positionV relativeFrom="paragraph">
                <wp:posOffset>24765</wp:posOffset>
              </wp:positionV>
              <wp:extent cx="5928360" cy="0"/>
              <wp:effectExtent l="0" t="0" r="342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192C43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" strokecolor="#603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E9F"/>
    <w:multiLevelType w:val="hybridMultilevel"/>
    <w:tmpl w:val="FDAA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56AE7"/>
    <w:multiLevelType w:val="hybridMultilevel"/>
    <w:tmpl w:val="7B40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3C"/>
    <w:rsid w:val="000A024E"/>
    <w:rsid w:val="002463F2"/>
    <w:rsid w:val="00261C96"/>
    <w:rsid w:val="00360C5F"/>
    <w:rsid w:val="00810575"/>
    <w:rsid w:val="0082505A"/>
    <w:rsid w:val="008868E3"/>
    <w:rsid w:val="009D4CD6"/>
    <w:rsid w:val="00CE70A5"/>
    <w:rsid w:val="00E62B4A"/>
    <w:rsid w:val="00F11E3C"/>
    <w:rsid w:val="00F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D866"/>
  <w15:chartTrackingRefBased/>
  <w15:docId w15:val="{46D013EF-7479-4313-A0B1-0A6B30B4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D6"/>
    <w:pPr>
      <w:ind w:left="720"/>
      <w:contextualSpacing/>
    </w:pPr>
  </w:style>
  <w:style w:type="paragraph" w:customStyle="1" w:styleId="a4">
    <w:name w:val="Заголовок тренинга"/>
    <w:basedOn w:val="a"/>
    <w:rsid w:val="0082505A"/>
    <w:pPr>
      <w:shd w:val="pct15" w:color="auto" w:fill="FFFFFF"/>
      <w:spacing w:after="240" w:line="240" w:lineRule="auto"/>
    </w:pPr>
    <w:rPr>
      <w:rFonts w:ascii="Arial" w:eastAsia="Times New Roman" w:hAnsi="Arial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0A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E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0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/>
  <cp:lastModifiedBy>Сергей Попов</cp:lastModifiedBy>
  <cp:revision>4</cp:revision>
  <dcterms:created xsi:type="dcterms:W3CDTF">2020-04-04T05:37:00Z</dcterms:created>
  <dcterms:modified xsi:type="dcterms:W3CDTF">2020-04-04T05:46:00Z</dcterms:modified>
</cp:coreProperties>
</file>